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42704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42704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00D3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B4270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B42704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42704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Semi-gloss (egg shell) solvent borne paints; Paints and varnishes (including enamels and lacquers) based on synthetic polymers or chemically modified natural polymers, dispersed or dissolved in an aqueous medium (HS 3209); Paints and varnishes (ICS 87.040)</w:t>
            </w:r>
            <w:bookmarkStart w:id="20" w:name="sps3a"/>
            <w:bookmarkEnd w:id="20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 937:2019, Semi-gloss (egg shell) solvent borne paints for interior and exterior use — Specification, First Edition (17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specifies requirements, methods of sampling and test for semi-gloss (egg-shell) solvent borne paints for interior and exterior use. This standard does not apply to automotive, road marking and Industrial applications.</w:t>
            </w:r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42704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4618, Paints and varnishes — Terms and definitions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6503 Paints and varnishes -- Determination of total lead — Flame atomic absorption spectrometric method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ISO 6504-3, Paints and varnishes — Determination of hiding power — Part 3: Determination of contrast ratio of </w:t>
            </w:r>
            <w:proofErr w:type="gramStart"/>
            <w:r w:rsidRPr="002F6A28">
              <w:rPr>
                <w:bCs/>
              </w:rPr>
              <w:t>light coloured</w:t>
            </w:r>
            <w:proofErr w:type="gramEnd"/>
            <w:r w:rsidRPr="002F6A28">
              <w:rPr>
                <w:bCs/>
              </w:rPr>
              <w:t xml:space="preserve"> paints at a fixed spreading rate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17132, Paints and varnishes — T-bend test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3251, Paints varnishes and plastics — Determination of non- volatile matter content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1514, Paints and varnishes — Standard panels for testing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1518-1, Paints and varnishes — Determination of scratch resistance — Part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1: Constant-loading method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lastRenderedPageBreak/>
              <w:tab/>
            </w:r>
            <w:r w:rsidRPr="002F6A28">
              <w:rPr>
                <w:bCs/>
              </w:rPr>
              <w:t>ISO 1524, Paints, varnishes and printing ink — Determination of fineness of grind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15528, Paints, varnishes and raw materials for paints and varnishes — Sampling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3270, Paints and varnishes and their raw materials — Temperatures and humidities for conditioning and testing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1514, Paints and varnishes — Standard panels for testing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2884-2, Paints and varnishes — Determination of viscosity using rotary viscometers — Part 2: Disc or ball viscometer operated at a specified speed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3856-6, Paints and varnishes — Determination of "soluble" metal content — Part 6: Determination of total chromium content of the liquid portion of the paint — Flame atomic absorption spectrometric method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9117-1, Paints and varnishes — Drying tests — Part 1: Determination of through-dry state and throughdry Time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2813, Paints and varnishes — Determination of specular gloss of non-metallic paint films at 20°, 60° and 85°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6504-3, Paints and varnishes — Determination of hiding power — Part 3: Determination of contrast ratio of </w:t>
            </w:r>
            <w:proofErr w:type="gramStart"/>
            <w:r w:rsidRPr="002F6A28">
              <w:rPr>
                <w:bCs/>
              </w:rPr>
              <w:t>light coloured</w:t>
            </w:r>
            <w:proofErr w:type="gramEnd"/>
            <w:r w:rsidRPr="002F6A28">
              <w:rPr>
                <w:bCs/>
              </w:rPr>
              <w:t xml:space="preserve"> paints at a fixed spreading rate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16474-1, Paints and varnishes — Methods of exposure to laboratory light sources — Part 1: General guidance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16474-2, Paints and varnishes — Methods of exposure to laboratory light sources — Part 2: Xenon-arc l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ASTM D4828-94, Standard test methods for practical washability of organic coatings amps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20566, Paints and varnishes — Determination of the scratch resistance of a coating system using a laboratory-scale car-wash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4628-10, Paints and varnishes — Evaluation of degradation of coatings — Designation of quantity and size of defects, and of intensity of uniform changes in appearance — Part 10: Assessment of degree of filiform corrosion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KS 909:1991, Specification for semi-gloss solvent borne paints for interior and exterior use</w:t>
            </w:r>
          </w:p>
          <w:p w:rsidR="00200D35" w:rsidRPr="002F6A28" w:rsidRDefault="00B42704" w:rsidP="00B42704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TZ 726:2011 Semi-gloss solvent borne paints for interior and exterior use – Specification</w:t>
            </w:r>
          </w:p>
        </w:tc>
      </w:tr>
      <w:tr w:rsidR="00200D3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4270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42704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B42704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2704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00D3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4270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42704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00D35" w:rsidRPr="002F6A28" w:rsidRDefault="00BB4A20" w:rsidP="00B16145">
            <w:pPr>
              <w:keepNext/>
              <w:keepLines/>
              <w:spacing w:before="120" w:after="120"/>
            </w:pPr>
            <w:hyperlink r:id="rId7" w:history="1">
              <w:r w:rsidR="00B42704" w:rsidRPr="002F6A28">
                <w:rPr>
                  <w:color w:val="0000FF"/>
                  <w:u w:val="single"/>
                </w:rPr>
                <w:t>https://members.wto.org/crnattachments/2020/TBT/UGA/20_0255_00_e.pdf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321" w:rsidRDefault="00B42704">
      <w:r>
        <w:separator/>
      </w:r>
    </w:p>
  </w:endnote>
  <w:endnote w:type="continuationSeparator" w:id="0">
    <w:p w:rsidR="00351321" w:rsidRDefault="00B4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2704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2704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42704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321" w:rsidRDefault="00B42704">
      <w:r>
        <w:separator/>
      </w:r>
    </w:p>
  </w:footnote>
  <w:footnote w:type="continuationSeparator" w:id="0">
    <w:p w:rsidR="00351321" w:rsidRDefault="00B42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270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4270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270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G/TBT/N/UGA/1160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4270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00D3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00D3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BB4A20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00D3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42704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G/TBT/N/UGA/1160</w:t>
          </w:r>
          <w:bookmarkEnd w:id="43"/>
        </w:p>
      </w:tc>
    </w:tr>
    <w:tr w:rsidR="00200D3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42704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200D3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42704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BB4A20">
            <w:rPr>
              <w:color w:val="FF0000"/>
              <w:szCs w:val="16"/>
            </w:rPr>
            <w:t>0183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42704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00D3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42704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42704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CC8499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E3167E9C" w:tentative="1">
      <w:start w:val="1"/>
      <w:numFmt w:val="lowerLetter"/>
      <w:lvlText w:val="%2."/>
      <w:lvlJc w:val="left"/>
      <w:pPr>
        <w:ind w:left="1080" w:hanging="360"/>
      </w:pPr>
    </w:lvl>
    <w:lvl w:ilvl="2" w:tplc="ADCE5028" w:tentative="1">
      <w:start w:val="1"/>
      <w:numFmt w:val="lowerRoman"/>
      <w:lvlText w:val="%3."/>
      <w:lvlJc w:val="right"/>
      <w:pPr>
        <w:ind w:left="1800" w:hanging="180"/>
      </w:pPr>
    </w:lvl>
    <w:lvl w:ilvl="3" w:tplc="74F445DC" w:tentative="1">
      <w:start w:val="1"/>
      <w:numFmt w:val="decimal"/>
      <w:lvlText w:val="%4."/>
      <w:lvlJc w:val="left"/>
      <w:pPr>
        <w:ind w:left="2520" w:hanging="360"/>
      </w:pPr>
    </w:lvl>
    <w:lvl w:ilvl="4" w:tplc="54AA57BC" w:tentative="1">
      <w:start w:val="1"/>
      <w:numFmt w:val="lowerLetter"/>
      <w:lvlText w:val="%5."/>
      <w:lvlJc w:val="left"/>
      <w:pPr>
        <w:ind w:left="3240" w:hanging="360"/>
      </w:pPr>
    </w:lvl>
    <w:lvl w:ilvl="5" w:tplc="2780A454" w:tentative="1">
      <w:start w:val="1"/>
      <w:numFmt w:val="lowerRoman"/>
      <w:lvlText w:val="%6."/>
      <w:lvlJc w:val="right"/>
      <w:pPr>
        <w:ind w:left="3960" w:hanging="180"/>
      </w:pPr>
    </w:lvl>
    <w:lvl w:ilvl="6" w:tplc="C11AABC0" w:tentative="1">
      <w:start w:val="1"/>
      <w:numFmt w:val="decimal"/>
      <w:lvlText w:val="%7."/>
      <w:lvlJc w:val="left"/>
      <w:pPr>
        <w:ind w:left="4680" w:hanging="360"/>
      </w:pPr>
    </w:lvl>
    <w:lvl w:ilvl="7" w:tplc="7924D09A" w:tentative="1">
      <w:start w:val="1"/>
      <w:numFmt w:val="lowerLetter"/>
      <w:lvlText w:val="%8."/>
      <w:lvlJc w:val="left"/>
      <w:pPr>
        <w:ind w:left="5400" w:hanging="360"/>
      </w:pPr>
    </w:lvl>
    <w:lvl w:ilvl="8" w:tplc="3070A7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0D35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1321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704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B4A20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6C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255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707</Words>
  <Characters>4153</Characters>
  <Application>Microsoft Office Word</Application>
  <DocSecurity>0</DocSecurity>
  <Lines>88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